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A37" w:rsidRDefault="00E51BFA" w:rsidP="00E51BFA">
      <w:pPr>
        <w:jc w:val="center"/>
      </w:pPr>
      <w:r>
        <w:rPr>
          <w:rFonts w:ascii="Calibri" w:hAnsi="Calibri"/>
          <w:noProof/>
          <w:lang w:eastAsia="it-IT"/>
        </w:rPr>
        <w:drawing>
          <wp:inline distT="0" distB="0" distL="0" distR="0" wp14:anchorId="7AE80DF6" wp14:editId="336C839D">
            <wp:extent cx="1104900" cy="780336"/>
            <wp:effectExtent l="0" t="0" r="0" b="1270"/>
            <wp:docPr id="1" name="Immagine 1" descr="NUOVO LOGO FIARC x SH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NUOVO LOGO FIARC x SHERM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13" cy="78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FA" w:rsidRDefault="00E51BFA" w:rsidP="00E51BFA">
      <w:pPr>
        <w:jc w:val="center"/>
        <w:rPr>
          <w:b/>
        </w:rPr>
      </w:pPr>
      <w:r w:rsidRPr="00E51BFA">
        <w:rPr>
          <w:b/>
        </w:rPr>
        <w:t>La posizione della Fiarc-Confesercenti</w:t>
      </w:r>
    </w:p>
    <w:p w:rsidR="00A71903" w:rsidRDefault="00D5040D" w:rsidP="00E51BFA">
      <w:pPr>
        <w:jc w:val="center"/>
        <w:rPr>
          <w:b/>
        </w:rPr>
      </w:pPr>
      <w:r>
        <w:rPr>
          <w:b/>
        </w:rPr>
        <w:t>C</w:t>
      </w:r>
      <w:bookmarkStart w:id="0" w:name="_GoBack"/>
      <w:bookmarkEnd w:id="0"/>
      <w:r w:rsidR="00A71903">
        <w:rPr>
          <w:b/>
        </w:rPr>
        <w:t>onsuntivo 2018 e</w:t>
      </w:r>
      <w:r w:rsidR="00A71903" w:rsidRPr="00A71903">
        <w:rPr>
          <w:b/>
        </w:rPr>
        <w:t xml:space="preserve"> </w:t>
      </w:r>
      <w:r w:rsidR="00A71903">
        <w:rPr>
          <w:b/>
        </w:rPr>
        <w:t>Budget preventivo 2019</w:t>
      </w:r>
    </w:p>
    <w:p w:rsidR="00A71903" w:rsidRPr="00A71903" w:rsidRDefault="00A71903" w:rsidP="00A71903">
      <w:pPr>
        <w:pStyle w:val="Nessunaspaziatura"/>
        <w:jc w:val="center"/>
        <w:rPr>
          <w:b/>
        </w:rPr>
      </w:pPr>
      <w:r w:rsidRPr="00A71903">
        <w:rPr>
          <w:b/>
        </w:rPr>
        <w:t>Fondazione Enasarco</w:t>
      </w:r>
    </w:p>
    <w:p w:rsidR="00A71903" w:rsidRDefault="00A71903" w:rsidP="00A71903">
      <w:pPr>
        <w:pStyle w:val="Nessunaspaziatura"/>
        <w:jc w:val="center"/>
        <w:rPr>
          <w:b/>
        </w:rPr>
      </w:pPr>
      <w:r w:rsidRPr="00A71903">
        <w:rPr>
          <w:b/>
        </w:rPr>
        <w:t>Roma, 9 novembre 2018</w:t>
      </w:r>
    </w:p>
    <w:p w:rsidR="00A71903" w:rsidRPr="00A71903" w:rsidRDefault="00A71903" w:rsidP="00A71903">
      <w:pPr>
        <w:pStyle w:val="Nessunaspaziatura"/>
        <w:jc w:val="center"/>
        <w:rPr>
          <w:b/>
        </w:rPr>
      </w:pPr>
    </w:p>
    <w:p w:rsidR="008B2BD4" w:rsidRDefault="008B2BD4" w:rsidP="00535AC8">
      <w:pPr>
        <w:pStyle w:val="Nessunaspaziatura"/>
        <w:jc w:val="both"/>
      </w:pPr>
      <w:r>
        <w:t xml:space="preserve">Le relazioni illustrative al preconsuntivo 2018 e al budget 2019 mostrano un deciso elemento di continuità con il passato. Se ciò può indurre ad una valutazione </w:t>
      </w:r>
      <w:r w:rsidR="001650FF">
        <w:t xml:space="preserve">sostanzialmente </w:t>
      </w:r>
      <w:r w:rsidR="00DC5BFE">
        <w:t>tranquillizzante</w:t>
      </w:r>
      <w:r w:rsidR="005F0DCE">
        <w:t>,</w:t>
      </w:r>
      <w:r w:rsidR="00DC5BFE">
        <w:t xml:space="preserve"> dettata da</w:t>
      </w:r>
      <w:r w:rsidR="00535AC8">
        <w:t>l</w:t>
      </w:r>
      <w:r w:rsidR="00DC5BFE">
        <w:t xml:space="preserve"> </w:t>
      </w:r>
      <w:r>
        <w:t xml:space="preserve">risultato complessivo finale, l’analisi dei singoli asset, invece, crea </w:t>
      </w:r>
      <w:r w:rsidR="005F0DCE">
        <w:t>più di una</w:t>
      </w:r>
      <w:r>
        <w:t xml:space="preserve"> preoccupazione </w:t>
      </w:r>
      <w:r w:rsidR="00DC5BFE">
        <w:t xml:space="preserve">e ci induce a pensare che alcuni fondamentali su cui essi sono costituiti possano mostrare </w:t>
      </w:r>
      <w:r w:rsidR="00535AC8">
        <w:t xml:space="preserve">forti </w:t>
      </w:r>
      <w:r w:rsidR="00DC5BFE">
        <w:t>segni di criticità.</w:t>
      </w:r>
    </w:p>
    <w:p w:rsidR="008B2BD4" w:rsidRDefault="008B2BD4" w:rsidP="00535AC8">
      <w:pPr>
        <w:pStyle w:val="Nessunaspaziatura"/>
        <w:jc w:val="both"/>
      </w:pPr>
      <w:r>
        <w:t>L’esperienza non troppo lontana di una tardiva percezione dei cambiamenti ha posto di fronte l’Ente a difficile e pesanti scelte dell’ultimo momento</w:t>
      </w:r>
      <w:r w:rsidR="00DC5BFE">
        <w:t xml:space="preserve">. </w:t>
      </w:r>
      <w:r w:rsidR="008D14A7">
        <w:t>È</w:t>
      </w:r>
      <w:r w:rsidR="00DC5BFE">
        <w:t xml:space="preserve"> da tale situazione che </w:t>
      </w:r>
      <w:r>
        <w:t>è nato l’attuale Regolamento che, per rendere il bilancio tecnico compatibile con gli obblighi di legge, ha incrementato i contributi e ritardato i pensionamenti.</w:t>
      </w:r>
    </w:p>
    <w:p w:rsidR="00535AC8" w:rsidRDefault="00535AC8" w:rsidP="00535AC8">
      <w:pPr>
        <w:pStyle w:val="Nessunaspaziatura"/>
        <w:jc w:val="both"/>
      </w:pPr>
    </w:p>
    <w:p w:rsidR="008B2BD4" w:rsidRDefault="008B2BD4" w:rsidP="00535AC8">
      <w:pPr>
        <w:pStyle w:val="Nessunaspaziatura"/>
        <w:jc w:val="both"/>
        <w:rPr>
          <w:b/>
        </w:rPr>
      </w:pPr>
      <w:r w:rsidRPr="00535AC8">
        <w:rPr>
          <w:b/>
        </w:rPr>
        <w:t xml:space="preserve">Occorre adesso una decisa discontinuità </w:t>
      </w:r>
      <w:r w:rsidR="00A60384" w:rsidRPr="00535AC8">
        <w:rPr>
          <w:b/>
        </w:rPr>
        <w:t>strategica e non operativa nel disegnare il futuro di breve periodo dell’Ente</w:t>
      </w:r>
      <w:r w:rsidR="00B346C7" w:rsidRPr="00535AC8">
        <w:rPr>
          <w:b/>
        </w:rPr>
        <w:t xml:space="preserve">. A cominciare dal preconsuntivo 2018 e preventivo 2019, documenti </w:t>
      </w:r>
      <w:r w:rsidR="00A60384" w:rsidRPr="00535AC8">
        <w:rPr>
          <w:b/>
        </w:rPr>
        <w:t>che</w:t>
      </w:r>
      <w:r w:rsidR="00B346C7" w:rsidRPr="00535AC8">
        <w:rPr>
          <w:b/>
        </w:rPr>
        <w:t>,</w:t>
      </w:r>
      <w:r w:rsidR="00A60384" w:rsidRPr="00535AC8">
        <w:rPr>
          <w:b/>
        </w:rPr>
        <w:t xml:space="preserve"> non rispondendo a questo requisito</w:t>
      </w:r>
      <w:r w:rsidR="00B346C7" w:rsidRPr="00535AC8">
        <w:rPr>
          <w:b/>
        </w:rPr>
        <w:t>,</w:t>
      </w:r>
      <w:r w:rsidR="00A60384" w:rsidRPr="00535AC8">
        <w:rPr>
          <w:b/>
        </w:rPr>
        <w:t xml:space="preserve"> ci trovano contrari </w:t>
      </w:r>
      <w:r w:rsidR="00535AC8">
        <w:rPr>
          <w:b/>
        </w:rPr>
        <w:t>nella</w:t>
      </w:r>
      <w:r w:rsidR="00A60384" w:rsidRPr="00535AC8">
        <w:rPr>
          <w:b/>
        </w:rPr>
        <w:t xml:space="preserve"> loro impostazione e preoccupati per le conseguenze che una sorta di “principio di trascinamento” </w:t>
      </w:r>
      <w:r w:rsidR="00B346C7" w:rsidRPr="00535AC8">
        <w:rPr>
          <w:b/>
        </w:rPr>
        <w:t xml:space="preserve">da loro sancito </w:t>
      </w:r>
      <w:r w:rsidR="00A60384" w:rsidRPr="00535AC8">
        <w:rPr>
          <w:b/>
        </w:rPr>
        <w:t>può determinare.</w:t>
      </w:r>
    </w:p>
    <w:p w:rsidR="00535AC8" w:rsidRPr="00535AC8" w:rsidRDefault="00535AC8" w:rsidP="00535AC8">
      <w:pPr>
        <w:pStyle w:val="Nessunaspaziatura"/>
        <w:jc w:val="both"/>
        <w:rPr>
          <w:b/>
        </w:rPr>
      </w:pPr>
    </w:p>
    <w:p w:rsidR="00A1798A" w:rsidRDefault="00A60384" w:rsidP="00535AC8">
      <w:pPr>
        <w:pStyle w:val="Nessunaspaziatura"/>
        <w:jc w:val="both"/>
      </w:pPr>
      <w:r>
        <w:t xml:space="preserve">Se prendiamo, ad esempio, </w:t>
      </w:r>
      <w:r w:rsidR="009D1F20">
        <w:t>l’incremento dei contributi previdenziali tra gli anni 2015 e 2018 (preconsuntivo) la percentuale positiva (4,8% del 2016 su 2</w:t>
      </w:r>
      <w:r>
        <w:t>015 e 3,222% del 2018 su 2017) è principalmente da ascrivere al progressivo incremento dell’aliquota così come previsto dal citato Regolamento.</w:t>
      </w:r>
      <w:r w:rsidR="009D1F20">
        <w:t xml:space="preserve"> </w:t>
      </w:r>
    </w:p>
    <w:p w:rsidR="009D1F20" w:rsidRDefault="009D1F20" w:rsidP="00535AC8">
      <w:pPr>
        <w:pStyle w:val="Nessunaspaziatura"/>
        <w:jc w:val="both"/>
      </w:pPr>
      <w:r>
        <w:t>Sotto il riepilogo dei contributi e delle prestazioni.</w:t>
      </w:r>
    </w:p>
    <w:p w:rsidR="00016628" w:rsidRDefault="00016628" w:rsidP="00016628">
      <w:pPr>
        <w:pStyle w:val="Nessunaspaziatura"/>
      </w:pPr>
    </w:p>
    <w:tbl>
      <w:tblPr>
        <w:tblW w:w="5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076"/>
        <w:gridCol w:w="1076"/>
        <w:gridCol w:w="1176"/>
        <w:gridCol w:w="1176"/>
      </w:tblGrid>
      <w:tr w:rsidR="009D1F20" w:rsidRPr="00016628" w:rsidTr="00016628">
        <w:trPr>
          <w:trHeight w:val="300"/>
        </w:trPr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2015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2016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2017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2018</w:t>
            </w:r>
          </w:p>
        </w:tc>
      </w:tr>
      <w:tr w:rsidR="009D1F20" w:rsidRPr="00016628" w:rsidTr="0001662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contributi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948393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994309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1007987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1039444</w:t>
            </w:r>
          </w:p>
        </w:tc>
      </w:tr>
      <w:tr w:rsidR="009D1F20" w:rsidRPr="00016628" w:rsidTr="0001662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prestazioni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957212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967502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975419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F20" w:rsidRPr="00016628" w:rsidRDefault="009D1F20" w:rsidP="009D1F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166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997637</w:t>
            </w:r>
          </w:p>
        </w:tc>
      </w:tr>
    </w:tbl>
    <w:p w:rsidR="009D1F20" w:rsidRPr="00016628" w:rsidRDefault="009D1F20" w:rsidP="009D1F20">
      <w:pPr>
        <w:jc w:val="both"/>
      </w:pPr>
    </w:p>
    <w:p w:rsidR="009D1F20" w:rsidRDefault="009D1F20" w:rsidP="009D1F20">
      <w:pPr>
        <w:jc w:val="center"/>
      </w:pPr>
      <w:r w:rsidRPr="009D1F20">
        <w:rPr>
          <w:noProof/>
          <w:lang w:eastAsia="it-IT"/>
        </w:rPr>
        <w:drawing>
          <wp:inline distT="0" distB="0" distL="0" distR="0">
            <wp:extent cx="4572000" cy="27432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1F20" w:rsidRPr="00016628" w:rsidRDefault="009D1F20" w:rsidP="00016628">
      <w:pPr>
        <w:pStyle w:val="Nessunaspaziatura"/>
        <w:jc w:val="both"/>
      </w:pPr>
      <w:r w:rsidRPr="00016628">
        <w:lastRenderedPageBreak/>
        <w:t>A fronte del combinato maggior contributi e sostanziale stabilità delle prestazioni anche per gli effetti della riforma del regolamento e, quindi, con lo spostamento in avanti di molti pensionamenti il differenz</w:t>
      </w:r>
      <w:r w:rsidR="005A239C" w:rsidRPr="00016628">
        <w:t>iale tende a aumentare.</w:t>
      </w:r>
    </w:p>
    <w:p w:rsidR="005A239C" w:rsidRDefault="005A239C" w:rsidP="005A239C">
      <w:pPr>
        <w:jc w:val="center"/>
      </w:pPr>
      <w:r w:rsidRPr="005A239C">
        <w:rPr>
          <w:noProof/>
          <w:lang w:eastAsia="it-IT"/>
        </w:rPr>
        <w:drawing>
          <wp:inline distT="0" distB="0" distL="0" distR="0">
            <wp:extent cx="4572000" cy="27432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F1909" w:rsidRPr="00016628" w:rsidRDefault="006F1909" w:rsidP="00016628">
      <w:pPr>
        <w:pStyle w:val="Nessunaspaziatura"/>
        <w:jc w:val="both"/>
      </w:pPr>
      <w:r w:rsidRPr="00016628">
        <w:t>Se continuasse tale trend è ipotizzabile una situazione di equilibrio tra contributi e prestazioni anche al termine dell’effetto trascinamento dell’incremento della percentuale contributiva (anno 2020).</w:t>
      </w:r>
    </w:p>
    <w:p w:rsidR="006F1909" w:rsidRPr="00016628" w:rsidRDefault="006F1909" w:rsidP="00016628">
      <w:pPr>
        <w:pStyle w:val="Nessunaspaziatura"/>
        <w:jc w:val="both"/>
      </w:pPr>
      <w:r w:rsidRPr="00016628">
        <w:t>Tuttavia</w:t>
      </w:r>
      <w:r w:rsidR="00BC251F" w:rsidRPr="00016628">
        <w:t>,</w:t>
      </w:r>
      <w:r w:rsidRPr="00016628">
        <w:t xml:space="preserve"> in tale anno si avrebbe pienamente a regime la contribuzione standard (quindi senza ulteriore incremento) e contemporaneamente un maggior numero di pensionamenti e, quindi, di prestazioni a causa della cessazione dell’effetto posticipazione </w:t>
      </w:r>
      <w:r w:rsidR="00B346C7" w:rsidRPr="00016628">
        <w:t xml:space="preserve">determinato </w:t>
      </w:r>
      <w:r w:rsidRPr="00016628">
        <w:t>dal regolamento.</w:t>
      </w:r>
    </w:p>
    <w:p w:rsidR="006F1909" w:rsidRPr="00016628" w:rsidRDefault="006F1909" w:rsidP="00016628">
      <w:pPr>
        <w:pStyle w:val="Nessunaspaziatura"/>
        <w:jc w:val="both"/>
      </w:pPr>
      <w:r w:rsidRPr="00016628">
        <w:t>La forchetta andrebbe presumibil</w:t>
      </w:r>
      <w:r w:rsidR="00A60384" w:rsidRPr="00016628">
        <w:t>mente a ridursi pericolosamente anche perché il numero degli iscritti presumibilmente continuerà a flettere anno dopo anno.</w:t>
      </w:r>
    </w:p>
    <w:p w:rsidR="00A60384" w:rsidRPr="00016628" w:rsidRDefault="00A60384" w:rsidP="00016628">
      <w:pPr>
        <w:pStyle w:val="Nessunaspaziatura"/>
        <w:jc w:val="both"/>
      </w:pPr>
      <w:r w:rsidRPr="00016628">
        <w:t xml:space="preserve">Dal 2011 al 2017 sono andate perdute circa 4000 posizioni per ogni anno. Così dice </w:t>
      </w:r>
      <w:r w:rsidR="00554CCA" w:rsidRPr="00016628">
        <w:t xml:space="preserve">la relazione al budget 2019, una cifra identica a quella che nel report </w:t>
      </w:r>
      <w:r w:rsidR="00BC251F" w:rsidRPr="00016628">
        <w:t xml:space="preserve">FIARC </w:t>
      </w:r>
      <w:r w:rsidR="00554CCA" w:rsidRPr="00016628">
        <w:t xml:space="preserve">di Tabiano </w:t>
      </w:r>
      <w:r w:rsidR="00BC251F" w:rsidRPr="00016628">
        <w:t xml:space="preserve">del </w:t>
      </w:r>
      <w:r w:rsidR="00554CCA" w:rsidRPr="00016628">
        <w:t>2009 avevamo</w:t>
      </w:r>
      <w:r w:rsidR="00B346C7" w:rsidRPr="00016628">
        <w:t xml:space="preserve"> già</w:t>
      </w:r>
      <w:r w:rsidR="00554CCA" w:rsidRPr="00016628">
        <w:t xml:space="preserve"> previsto.</w:t>
      </w:r>
    </w:p>
    <w:p w:rsidR="00963C6A" w:rsidRDefault="00963C6A" w:rsidP="00016628">
      <w:pPr>
        <w:pStyle w:val="Nessunaspaziatura"/>
        <w:jc w:val="both"/>
      </w:pPr>
      <w:r w:rsidRPr="00016628">
        <w:t>Sorprende, ma non da oggi, la straordinaria performance del fondo assistenza.</w:t>
      </w:r>
    </w:p>
    <w:p w:rsidR="00016628" w:rsidRDefault="00016628" w:rsidP="00016628">
      <w:pPr>
        <w:pStyle w:val="Nessunaspaziatura"/>
        <w:jc w:val="both"/>
      </w:pPr>
    </w:p>
    <w:p w:rsidR="00016628" w:rsidRPr="00016628" w:rsidRDefault="00016628" w:rsidP="00016628">
      <w:pPr>
        <w:pStyle w:val="Nessunaspaziatura"/>
        <w:jc w:val="both"/>
      </w:pPr>
    </w:p>
    <w:p w:rsidR="001C4A37" w:rsidRDefault="009F5B10" w:rsidP="00E51BFA">
      <w:pPr>
        <w:jc w:val="center"/>
      </w:pPr>
      <w:r w:rsidRPr="009F5B10">
        <w:rPr>
          <w:noProof/>
          <w:lang w:eastAsia="it-IT"/>
        </w:rPr>
        <w:drawing>
          <wp:inline distT="0" distB="0" distL="0" distR="0">
            <wp:extent cx="4572000" cy="27432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6628" w:rsidRDefault="00016628" w:rsidP="00E51BFA">
      <w:pPr>
        <w:jc w:val="center"/>
      </w:pPr>
    </w:p>
    <w:p w:rsidR="00946146" w:rsidRDefault="00946146" w:rsidP="00016628">
      <w:pPr>
        <w:pStyle w:val="Nessunaspaziatura"/>
        <w:jc w:val="both"/>
      </w:pPr>
      <w:r>
        <w:lastRenderedPageBreak/>
        <w:t xml:space="preserve">Vi è un differenziale enorme tra le entrate (in incremento sia per il maggior contributo ormai stabilizzato, ma soprattutto, per la presenza nella statistica demografica di più società di capitali) e le uscite per prestazioni sostanzialmente stabili. </w:t>
      </w:r>
    </w:p>
    <w:p w:rsidR="00016628" w:rsidRDefault="00016628" w:rsidP="00016628">
      <w:pPr>
        <w:pStyle w:val="Nessunaspaziatura"/>
        <w:jc w:val="both"/>
      </w:pPr>
    </w:p>
    <w:p w:rsidR="00946146" w:rsidRDefault="00946146" w:rsidP="00016628">
      <w:pPr>
        <w:pStyle w:val="Nessunaspaziatura"/>
        <w:jc w:val="both"/>
      </w:pPr>
      <w:r>
        <w:t>Ciò invita a</w:t>
      </w:r>
      <w:r w:rsidR="00BC251F">
        <w:t>d</w:t>
      </w:r>
      <w:r w:rsidR="0098746C">
        <w:t xml:space="preserve"> </w:t>
      </w:r>
      <w:r>
        <w:t>una profonda riflession</w:t>
      </w:r>
      <w:r w:rsidR="00BC251F">
        <w:t xml:space="preserve">e </w:t>
      </w:r>
      <w:r>
        <w:t xml:space="preserve">sul </w:t>
      </w:r>
      <w:r w:rsidR="00BC251F">
        <w:t>F</w:t>
      </w:r>
      <w:r>
        <w:t>ondo, sul suo utilizzo e sulle sue potenzialità.</w:t>
      </w:r>
    </w:p>
    <w:p w:rsidR="00554CCA" w:rsidRDefault="00554CCA" w:rsidP="00016628">
      <w:pPr>
        <w:pStyle w:val="Nessunaspaziatura"/>
        <w:jc w:val="both"/>
      </w:pPr>
      <w:r>
        <w:t>Il saldo dell’area assistenza,</w:t>
      </w:r>
      <w:r w:rsidR="00BC251F">
        <w:t xml:space="preserve"> </w:t>
      </w:r>
      <w:r>
        <w:t>come specifica anche la relazione, serve a alimentare la riserva legale ed è quindi lo strumento principale per garantire i requisiti di sostenibilità cinquantennale dell’ente.</w:t>
      </w:r>
    </w:p>
    <w:p w:rsidR="00846352" w:rsidRDefault="00846352" w:rsidP="00016628">
      <w:pPr>
        <w:pStyle w:val="Nessunaspaziatura"/>
        <w:jc w:val="both"/>
      </w:pPr>
      <w:r>
        <w:t>Le prestazioni che eroga rappresentano il 20% del totale dei contributi percepiti. Quindi il restante 80% va a riserva.</w:t>
      </w:r>
    </w:p>
    <w:p w:rsidR="00846352" w:rsidRDefault="00846352" w:rsidP="00016628">
      <w:pPr>
        <w:pStyle w:val="Nessunaspaziatura"/>
        <w:jc w:val="both"/>
      </w:pPr>
      <w:r>
        <w:t>Proseguendo tale tendenza avremo nell’</w:t>
      </w:r>
      <w:r w:rsidR="00B346C7">
        <w:t>arco dei prossimi</w:t>
      </w:r>
      <w:r>
        <w:t xml:space="preserve"> 3-4 anni un fondo previdenza con serie prospettive di disequilibrio e un fondo assistenza che contribuisce anno per anno a fornire servizi residuali e polverizzati ma </w:t>
      </w:r>
      <w:r w:rsidR="00B346C7">
        <w:t xml:space="preserve">soprattutto una </w:t>
      </w:r>
      <w:r w:rsidR="00F7077B">
        <w:t>riserva che si amplifica anno dopo anno.</w:t>
      </w:r>
    </w:p>
    <w:p w:rsidR="00F7077B" w:rsidRDefault="00F7077B" w:rsidP="00016628">
      <w:pPr>
        <w:pStyle w:val="Nessunaspaziatura"/>
        <w:jc w:val="both"/>
      </w:pPr>
      <w:r>
        <w:t>Occorre una profonda riflessione da subito.</w:t>
      </w:r>
    </w:p>
    <w:p w:rsidR="00946146" w:rsidRDefault="002362CA" w:rsidP="00016628">
      <w:pPr>
        <w:pStyle w:val="Nessunaspaziatura"/>
        <w:jc w:val="both"/>
      </w:pPr>
      <w:r>
        <w:t>Le spese generali incrementano tra gli stessi anni 2015/2018 del 36,58% passando da 6.422.724 a 8.774.877 con un significativo incremento delle spese per prestazioni professionali (di fatto raddoppiate) e della gestione IT.</w:t>
      </w:r>
    </w:p>
    <w:p w:rsidR="00535AC8" w:rsidRDefault="00535AC8" w:rsidP="00016628">
      <w:pPr>
        <w:pStyle w:val="Nessunaspaziatura"/>
        <w:jc w:val="both"/>
      </w:pPr>
    </w:p>
    <w:p w:rsidR="00931686" w:rsidRDefault="00931686" w:rsidP="00931686">
      <w:pPr>
        <w:jc w:val="center"/>
      </w:pPr>
      <w:r w:rsidRPr="00931686">
        <w:rPr>
          <w:noProof/>
          <w:lang w:eastAsia="it-IT"/>
        </w:rPr>
        <w:drawing>
          <wp:inline distT="0" distB="0" distL="0" distR="0">
            <wp:extent cx="4572000" cy="27432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6628" w:rsidRDefault="00016628" w:rsidP="00931686">
      <w:pPr>
        <w:jc w:val="center"/>
      </w:pPr>
    </w:p>
    <w:p w:rsidR="00F7077B" w:rsidRDefault="00F7077B" w:rsidP="00016628">
      <w:pPr>
        <w:pStyle w:val="Nessunaspaziatura"/>
        <w:jc w:val="both"/>
      </w:pPr>
      <w:r>
        <w:t>L’incidenza percentuale della voce sul totale è certamente di modesta entità. Tuttavia</w:t>
      </w:r>
      <w:r w:rsidR="00BC251F">
        <w:t>,</w:t>
      </w:r>
      <w:r>
        <w:t xml:space="preserve"> sorprende la tipologia di alcune poste, la loro utilità complessiva e la percentuale di incremento del loro valore assoluto.</w:t>
      </w:r>
      <w:r w:rsidR="006D0E06">
        <w:t xml:space="preserve"> </w:t>
      </w:r>
      <w:r w:rsidR="001650FF">
        <w:t xml:space="preserve">Alcune voci di costo sono anche determinate da nuovi adempimenti quale, ad esempio, gli obblighi GDPR compliance incluso la nomina del DPO (da valutare eventualmente la congruità delle cifre: 73000,00 + 30000,00). </w:t>
      </w:r>
    </w:p>
    <w:p w:rsidR="002362CA" w:rsidRDefault="002362CA" w:rsidP="00016628">
      <w:pPr>
        <w:pStyle w:val="Nessunaspaziatura"/>
        <w:jc w:val="both"/>
      </w:pPr>
      <w:r>
        <w:t>Per quanto riguarda le spese per custer care è da evidenzia</w:t>
      </w:r>
      <w:r w:rsidR="00A23C19">
        <w:t>re l’incremento (soprattutto nell’aspetto previsionale) a causa de</w:t>
      </w:r>
      <w:r w:rsidR="00931686">
        <w:t>l</w:t>
      </w:r>
      <w:r w:rsidR="00A23C19">
        <w:t>l’attività di promozione e marketing, prima inesistente.</w:t>
      </w:r>
      <w:r w:rsidR="00F7077B">
        <w:t xml:space="preserve"> Promuovere dei nuovi prodotti può essere una attività corretta, ma, magari, al fondo del loro relativo utilizzo pesa maggiormente la loro natura che non la mancanza di conoscenza dell’opportunità.</w:t>
      </w:r>
    </w:p>
    <w:p w:rsidR="00A23C19" w:rsidRDefault="00A23C19" w:rsidP="00016628">
      <w:pPr>
        <w:pStyle w:val="Nessunaspaziatura"/>
        <w:jc w:val="both"/>
      </w:pPr>
      <w:r>
        <w:t>Se risultano stabili i gettoni sia per quanto riguarda il CDA che il Collegio Sindacale è invece presente nel</w:t>
      </w:r>
      <w:r w:rsidR="000F3A66">
        <w:t xml:space="preserve"> </w:t>
      </w:r>
      <w:r>
        <w:t>preconsuntivo 2018 un deciso incremento dei rimborsi (210</w:t>
      </w:r>
      <w:r w:rsidR="000F3A66">
        <w:t>.</w:t>
      </w:r>
      <w:r>
        <w:t>000 contro i soli 78</w:t>
      </w:r>
      <w:r w:rsidR="000F3A66">
        <w:t>.</w:t>
      </w:r>
      <w:r>
        <w:t>000 del 2015).</w:t>
      </w:r>
    </w:p>
    <w:p w:rsidR="00A23C19" w:rsidRDefault="00A23C19" w:rsidP="00016628">
      <w:pPr>
        <w:pStyle w:val="Nessunaspaziatura"/>
        <w:jc w:val="both"/>
      </w:pPr>
      <w:r>
        <w:t>Per quanto riguarda le spese del personale (voce ovviamente di costo ovviamente significativa) occorre, tuttavia, conoscere diverse dinamiche per meglio comprenderne l’evoluzione negli anni.</w:t>
      </w:r>
    </w:p>
    <w:p w:rsidR="00120AB7" w:rsidRDefault="00120AB7" w:rsidP="00016628">
      <w:pPr>
        <w:pStyle w:val="Nessunaspaziatura"/>
        <w:jc w:val="both"/>
      </w:pPr>
      <w:r>
        <w:t xml:space="preserve">Tra il bilancio 2017 e il preventivo 2019 la voce salari e stipendi incrementa del 17,03% </w:t>
      </w:r>
    </w:p>
    <w:p w:rsidR="00120AB7" w:rsidRPr="00016628" w:rsidRDefault="00120AB7" w:rsidP="00016628">
      <w:pPr>
        <w:pStyle w:val="Nessunaspaziatura"/>
      </w:pPr>
      <w:r w:rsidRPr="00016628">
        <w:t>Tra il preconsuntivo 2018 e il preventivo 2019 l’incremento di circa un milione di stipendi è dato dal rinnovo del contratto (2,5% di incremento) e da 20 nuove assunzioni (costo stimato 600.000,00 Euro).</w:t>
      </w:r>
    </w:p>
    <w:p w:rsidR="00535AC8" w:rsidRDefault="00535AC8" w:rsidP="00016628">
      <w:pPr>
        <w:pStyle w:val="Nessunaspaziatura"/>
      </w:pPr>
    </w:p>
    <w:p w:rsidR="00016628" w:rsidRDefault="00120AB7" w:rsidP="00016628">
      <w:pPr>
        <w:pStyle w:val="Nessunaspaziatura"/>
      </w:pPr>
      <w:r w:rsidRPr="00016628">
        <w:lastRenderedPageBreak/>
        <w:t>Relativamente alla previsione delle venti assunzioni, non legata agli eventuali scenari determinati dal superamento della “Fornero”, non è di nostra conoscenza la motivazione.</w:t>
      </w:r>
    </w:p>
    <w:p w:rsidR="00120AB7" w:rsidRDefault="00120AB7" w:rsidP="00535AC8">
      <w:pPr>
        <w:pStyle w:val="Nessunaspaziatura"/>
        <w:jc w:val="both"/>
      </w:pPr>
      <w:r>
        <w:t>Vi è su tale aspetto una strategia di fondo? Quali uffici sono carenti? Vi è un ripotenziamento delle sedi territoriali?</w:t>
      </w:r>
    </w:p>
    <w:p w:rsidR="00016628" w:rsidRDefault="00016628" w:rsidP="00535AC8">
      <w:pPr>
        <w:pStyle w:val="Nessunaspaziatura"/>
        <w:jc w:val="both"/>
      </w:pPr>
    </w:p>
    <w:p w:rsidR="00016628" w:rsidRDefault="00016628" w:rsidP="00535AC8">
      <w:pPr>
        <w:pStyle w:val="Nessunaspaziatura"/>
        <w:jc w:val="both"/>
      </w:pPr>
      <w:r w:rsidRPr="00016628">
        <w:t xml:space="preserve">Ci </w:t>
      </w:r>
      <w:r w:rsidR="00535AC8">
        <w:t>troviamo ogg</w:t>
      </w:r>
      <w:r w:rsidRPr="00016628">
        <w:t xml:space="preserve">i infatti, a dover votare </w:t>
      </w:r>
      <w:r w:rsidR="00535AC8">
        <w:t xml:space="preserve">il </w:t>
      </w:r>
      <w:r w:rsidRPr="00016628">
        <w:t>consuntivo 201</w:t>
      </w:r>
      <w:r>
        <w:t>8</w:t>
      </w:r>
      <w:r w:rsidRPr="00016628">
        <w:t xml:space="preserve"> </w:t>
      </w:r>
      <w:r>
        <w:t xml:space="preserve">e un preventivo 2019 - come già successo per il recente passato - </w:t>
      </w:r>
      <w:r w:rsidRPr="00016628">
        <w:t>senza alcun valore aggiunto rispett</w:t>
      </w:r>
      <w:r>
        <w:t xml:space="preserve">o agli anni passati </w:t>
      </w:r>
      <w:r w:rsidRPr="00016628">
        <w:t>per quanto riguarda:</w:t>
      </w:r>
    </w:p>
    <w:p w:rsidR="00016628" w:rsidRPr="00016628" w:rsidRDefault="00016628" w:rsidP="00535AC8">
      <w:pPr>
        <w:pStyle w:val="Nessunaspaziatura"/>
        <w:jc w:val="both"/>
      </w:pPr>
    </w:p>
    <w:p w:rsidR="00016628" w:rsidRPr="00016628" w:rsidRDefault="00016628" w:rsidP="00535AC8">
      <w:pPr>
        <w:pStyle w:val="Nessunaspaziatura"/>
        <w:numPr>
          <w:ilvl w:val="0"/>
          <w:numId w:val="3"/>
        </w:numPr>
        <w:jc w:val="both"/>
      </w:pPr>
      <w:r w:rsidRPr="00016628">
        <w:t>una governan</w:t>
      </w:r>
      <w:r w:rsidR="00FA7B52">
        <w:t>c</w:t>
      </w:r>
      <w:r w:rsidRPr="00016628">
        <w:t>e condivisa e partecipata;</w:t>
      </w:r>
    </w:p>
    <w:p w:rsidR="00016628" w:rsidRPr="00016628" w:rsidRDefault="00016628" w:rsidP="00535AC8">
      <w:pPr>
        <w:pStyle w:val="Nessunaspaziatura"/>
        <w:numPr>
          <w:ilvl w:val="0"/>
          <w:numId w:val="3"/>
        </w:numPr>
        <w:jc w:val="both"/>
      </w:pPr>
      <w:r w:rsidRPr="00016628">
        <w:t>una nuova, efficace ed efficiente riorganizzazione della struttura;</w:t>
      </w:r>
    </w:p>
    <w:p w:rsidR="00016628" w:rsidRPr="00016628" w:rsidRDefault="00016628" w:rsidP="00535AC8">
      <w:pPr>
        <w:pStyle w:val="Nessunaspaziatura"/>
        <w:numPr>
          <w:ilvl w:val="0"/>
          <w:numId w:val="3"/>
        </w:numPr>
        <w:jc w:val="both"/>
      </w:pPr>
      <w:r w:rsidRPr="00016628">
        <w:t>un insoddisfacente risultato delle politiche riguardanti gli investimenti. La politica finanziaria della fondazione ha determinato un rendimento netto del patrimonio immobiliare e mobiliare al di sotto dei valori necessari per garantire (anche se indirettamente) la sostenibilità della previdenza e dell'assistenza;</w:t>
      </w:r>
    </w:p>
    <w:p w:rsidR="00016628" w:rsidRPr="00016628" w:rsidRDefault="00016628" w:rsidP="00535AC8">
      <w:pPr>
        <w:pStyle w:val="Nessunaspaziatura"/>
        <w:numPr>
          <w:ilvl w:val="0"/>
          <w:numId w:val="3"/>
        </w:numPr>
        <w:jc w:val="both"/>
      </w:pPr>
      <w:r w:rsidRPr="00016628">
        <w:t>un ruolo più attivo e di controllo della stessa assemblea dei delegati.</w:t>
      </w:r>
    </w:p>
    <w:p w:rsidR="00016628" w:rsidRPr="00016628" w:rsidRDefault="00016628" w:rsidP="00016628">
      <w:pPr>
        <w:pStyle w:val="Nessunaspaziatura"/>
      </w:pPr>
    </w:p>
    <w:p w:rsidR="00016628" w:rsidRPr="00016628" w:rsidRDefault="00016628" w:rsidP="00016628">
      <w:pPr>
        <w:pStyle w:val="Nessunaspaziatura"/>
        <w:jc w:val="both"/>
        <w:rPr>
          <w:b/>
        </w:rPr>
      </w:pPr>
      <w:r w:rsidRPr="00016628">
        <w:rPr>
          <w:b/>
        </w:rPr>
        <w:t xml:space="preserve">Questi gli obiettivi minimali che avremmo voluto riscontrare oggi, in assenza dei quali la Fiarc esprimerà voto </w:t>
      </w:r>
      <w:r w:rsidR="00400020">
        <w:rPr>
          <w:b/>
        </w:rPr>
        <w:t>CONTRARIO</w:t>
      </w:r>
      <w:r w:rsidRPr="00016628">
        <w:rPr>
          <w:b/>
        </w:rPr>
        <w:t>, nella speranza e auspicio, anzi nella certezza, che da domani si possa</w:t>
      </w:r>
      <w:r w:rsidR="003C4CCF">
        <w:rPr>
          <w:b/>
        </w:rPr>
        <w:t>no trovare nuove basi convergenti e innovative per</w:t>
      </w:r>
      <w:r w:rsidRPr="00016628">
        <w:rPr>
          <w:b/>
        </w:rPr>
        <w:t xml:space="preserve"> recuperare il tempo perduto ed avviare</w:t>
      </w:r>
      <w:r w:rsidR="003C4CCF">
        <w:rPr>
          <w:b/>
        </w:rPr>
        <w:t xml:space="preserve"> un</w:t>
      </w:r>
      <w:r w:rsidRPr="00016628">
        <w:rPr>
          <w:b/>
        </w:rPr>
        <w:t xml:space="preserve"> nuovo corso a tutela del futuro di tutti i nostri colleghi. </w:t>
      </w:r>
    </w:p>
    <w:p w:rsidR="00016628" w:rsidRPr="00016628" w:rsidRDefault="00016628" w:rsidP="00016628">
      <w:pPr>
        <w:pStyle w:val="Nessunaspaziatura"/>
        <w:jc w:val="both"/>
      </w:pPr>
    </w:p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1C4A37" w:rsidRDefault="001C4A37" w:rsidP="00946146"/>
    <w:p w:rsidR="00662097" w:rsidRDefault="00662097" w:rsidP="00946146"/>
    <w:p w:rsidR="001C4A37" w:rsidRDefault="001C4A37" w:rsidP="00946146"/>
    <w:p w:rsidR="00120AB7" w:rsidRDefault="00120AB7" w:rsidP="00946146"/>
    <w:p w:rsidR="001C4A37" w:rsidRDefault="001C4A37" w:rsidP="001C4A37">
      <w:pPr>
        <w:pStyle w:val="Nessunaspaziatura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SEDE: VIA NAZIONALE 60 – 00184 ROMA</w:t>
      </w:r>
    </w:p>
    <w:p w:rsidR="001C4A37" w:rsidRDefault="001C4A37" w:rsidP="001C4A37">
      <w:pPr>
        <w:pStyle w:val="Nessunaspaziatura"/>
        <w:jc w:val="center"/>
        <w:rPr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 xml:space="preserve">TEL. 06 47251 </w:t>
      </w:r>
    </w:p>
    <w:p w:rsidR="001C4A37" w:rsidRDefault="001C4A37" w:rsidP="001C4A37">
      <w:pPr>
        <w:pStyle w:val="Nessunaspaziatura"/>
        <w:jc w:val="center"/>
        <w:rPr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>www.fiarcweb.it</w:t>
      </w:r>
    </w:p>
    <w:p w:rsidR="001C4A37" w:rsidRDefault="001C4A37" w:rsidP="001C4A37">
      <w:pPr>
        <w:pStyle w:val="Nessunaspaziatura"/>
        <w:jc w:val="center"/>
        <w:rPr>
          <w:lang w:val="en-US"/>
        </w:rPr>
      </w:pPr>
      <w:r>
        <w:rPr>
          <w:b/>
          <w:i/>
          <w:sz w:val="18"/>
          <w:szCs w:val="18"/>
          <w:lang w:val="en-US"/>
        </w:rPr>
        <w:t>e-mail: info@fiarcweb.it</w:t>
      </w:r>
    </w:p>
    <w:p w:rsidR="00A23C19" w:rsidRDefault="00A23C19" w:rsidP="00946146"/>
    <w:sectPr w:rsidR="00A23C19" w:rsidSect="00A17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9697E"/>
    <w:multiLevelType w:val="hybridMultilevel"/>
    <w:tmpl w:val="9DEC0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F5C"/>
    <w:multiLevelType w:val="hybridMultilevel"/>
    <w:tmpl w:val="CD781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20"/>
    <w:rsid w:val="00016628"/>
    <w:rsid w:val="000F3A66"/>
    <w:rsid w:val="00120AB7"/>
    <w:rsid w:val="001650FF"/>
    <w:rsid w:val="001A0D83"/>
    <w:rsid w:val="001C4A37"/>
    <w:rsid w:val="002362CA"/>
    <w:rsid w:val="002D7E3F"/>
    <w:rsid w:val="003C4CCF"/>
    <w:rsid w:val="00400020"/>
    <w:rsid w:val="00535AC8"/>
    <w:rsid w:val="00554CCA"/>
    <w:rsid w:val="005A239C"/>
    <w:rsid w:val="005F0DCE"/>
    <w:rsid w:val="00662097"/>
    <w:rsid w:val="006D0E06"/>
    <w:rsid w:val="006F1909"/>
    <w:rsid w:val="00846352"/>
    <w:rsid w:val="008B2BD4"/>
    <w:rsid w:val="008D14A7"/>
    <w:rsid w:val="00931686"/>
    <w:rsid w:val="00946146"/>
    <w:rsid w:val="00963C6A"/>
    <w:rsid w:val="00967D7C"/>
    <w:rsid w:val="0098746C"/>
    <w:rsid w:val="009D1F20"/>
    <w:rsid w:val="009F5B10"/>
    <w:rsid w:val="00A1798A"/>
    <w:rsid w:val="00A23C19"/>
    <w:rsid w:val="00A60384"/>
    <w:rsid w:val="00A71903"/>
    <w:rsid w:val="00B346C7"/>
    <w:rsid w:val="00BC251F"/>
    <w:rsid w:val="00D5040D"/>
    <w:rsid w:val="00DC5BFE"/>
    <w:rsid w:val="00E51BFA"/>
    <w:rsid w:val="00F7077B"/>
    <w:rsid w:val="00F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66A7"/>
  <w15:docId w15:val="{2C7CA9A4-62A8-4592-86BD-5E85E674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79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F2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C4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spignoli.CONFFI\Desktop\timing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spignoli.CONFFI\Desktop\timi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spignoli.CONFFI\Desktop\timing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.spignoli.CONFFI\Desktop\timi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Foglio2!$A$4</c:f>
              <c:strCache>
                <c:ptCount val="1"/>
                <c:pt idx="0">
                  <c:v>contributi</c:v>
                </c:pt>
              </c:strCache>
            </c:strRef>
          </c:tx>
          <c:marker>
            <c:symbol val="none"/>
          </c:marker>
          <c:cat>
            <c:numRef>
              <c:f>Foglio2!$B$3:$E$3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Foglio2!$B$4:$E$4</c:f>
              <c:numCache>
                <c:formatCode>General</c:formatCode>
                <c:ptCount val="4"/>
                <c:pt idx="0">
                  <c:v>948393</c:v>
                </c:pt>
                <c:pt idx="1">
                  <c:v>994309</c:v>
                </c:pt>
                <c:pt idx="2">
                  <c:v>1007987</c:v>
                </c:pt>
                <c:pt idx="3">
                  <c:v>1039444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C3-4540-9E08-7C8FEF0E0331}"/>
            </c:ext>
          </c:extLst>
        </c:ser>
        <c:ser>
          <c:idx val="1"/>
          <c:order val="1"/>
          <c:tx>
            <c:strRef>
              <c:f>Foglio2!$A$5</c:f>
              <c:strCache>
                <c:ptCount val="1"/>
                <c:pt idx="0">
                  <c:v>prestazioni</c:v>
                </c:pt>
              </c:strCache>
            </c:strRef>
          </c:tx>
          <c:marker>
            <c:symbol val="none"/>
          </c:marker>
          <c:cat>
            <c:numRef>
              <c:f>Foglio2!$B$3:$E$3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Foglio2!$B$5:$E$5</c:f>
              <c:numCache>
                <c:formatCode>General</c:formatCode>
                <c:ptCount val="4"/>
                <c:pt idx="0">
                  <c:v>957212</c:v>
                </c:pt>
                <c:pt idx="1">
                  <c:v>967502</c:v>
                </c:pt>
                <c:pt idx="2">
                  <c:v>975419</c:v>
                </c:pt>
                <c:pt idx="3">
                  <c:v>997637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C3-4540-9E08-7C8FEF0E03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443648"/>
        <c:axId val="58565760"/>
      </c:lineChart>
      <c:catAx>
        <c:axId val="5844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565760"/>
        <c:crosses val="autoZero"/>
        <c:auto val="1"/>
        <c:lblAlgn val="ctr"/>
        <c:lblOffset val="100"/>
        <c:noMultiLvlLbl val="0"/>
      </c:catAx>
      <c:valAx>
        <c:axId val="58565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8443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Foglio2!$C$24:$F$24</c:f>
              <c:strCache>
                <c:ptCount val="4"/>
                <c:pt idx="0">
                  <c:v>anno 2015</c:v>
                </c:pt>
                <c:pt idx="1">
                  <c:v>anno 2016</c:v>
                </c:pt>
                <c:pt idx="2">
                  <c:v>anno 2017</c:v>
                </c:pt>
                <c:pt idx="3">
                  <c:v>anno 2018</c:v>
                </c:pt>
              </c:strCache>
            </c:strRef>
          </c:cat>
          <c:val>
            <c:numRef>
              <c:f>Foglio2!$C$25:$F$25</c:f>
              <c:numCache>
                <c:formatCode>General</c:formatCode>
                <c:ptCount val="4"/>
                <c:pt idx="0">
                  <c:v>-8819</c:v>
                </c:pt>
                <c:pt idx="1">
                  <c:v>26807</c:v>
                </c:pt>
                <c:pt idx="2">
                  <c:v>32568</c:v>
                </c:pt>
                <c:pt idx="3">
                  <c:v>41807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E-495E-A5DC-BD73C193AD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0124160"/>
        <c:axId val="60175104"/>
      </c:barChart>
      <c:catAx>
        <c:axId val="6012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0175104"/>
        <c:crosses val="autoZero"/>
        <c:auto val="1"/>
        <c:lblAlgn val="ctr"/>
        <c:lblOffset val="100"/>
        <c:noMultiLvlLbl val="0"/>
      </c:catAx>
      <c:valAx>
        <c:axId val="601751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0124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Foglio2!$A$35</c:f>
              <c:strCache>
                <c:ptCount val="1"/>
                <c:pt idx="0">
                  <c:v>contr.assistenza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Foglio2!$B$34:$E$34</c:f>
              <c:strCache>
                <c:ptCount val="4"/>
                <c:pt idx="0">
                  <c:v>anno 2015</c:v>
                </c:pt>
                <c:pt idx="1">
                  <c:v>anno 2016</c:v>
                </c:pt>
                <c:pt idx="2">
                  <c:v>anno 2017</c:v>
                </c:pt>
                <c:pt idx="3">
                  <c:v>anno 2018</c:v>
                </c:pt>
              </c:strCache>
            </c:strRef>
          </c:cat>
          <c:val>
            <c:numRef>
              <c:f>Foglio2!$B$35:$E$35</c:f>
              <c:numCache>
                <c:formatCode>General</c:formatCode>
                <c:ptCount val="4"/>
                <c:pt idx="0">
                  <c:v>98957</c:v>
                </c:pt>
                <c:pt idx="1">
                  <c:v>111133</c:v>
                </c:pt>
                <c:pt idx="2">
                  <c:v>120731</c:v>
                </c:pt>
                <c:pt idx="3">
                  <c:v>126871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47-4C65-AF39-9F5495BF91B6}"/>
            </c:ext>
          </c:extLst>
        </c:ser>
        <c:ser>
          <c:idx val="1"/>
          <c:order val="1"/>
          <c:tx>
            <c:strRef>
              <c:f>Foglio2!$A$36</c:f>
              <c:strCache>
                <c:ptCount val="1"/>
                <c:pt idx="0">
                  <c:v>prest.assistenza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Foglio2!$B$34:$E$34</c:f>
              <c:strCache>
                <c:ptCount val="4"/>
                <c:pt idx="0">
                  <c:v>anno 2015</c:v>
                </c:pt>
                <c:pt idx="1">
                  <c:v>anno 2016</c:v>
                </c:pt>
                <c:pt idx="2">
                  <c:v>anno 2017</c:v>
                </c:pt>
                <c:pt idx="3">
                  <c:v>anno 2018</c:v>
                </c:pt>
              </c:strCache>
            </c:strRef>
          </c:cat>
          <c:val>
            <c:numRef>
              <c:f>Foglio2!$B$36:$E$36</c:f>
              <c:numCache>
                <c:formatCode>General</c:formatCode>
                <c:ptCount val="4"/>
                <c:pt idx="0">
                  <c:v>16749</c:v>
                </c:pt>
                <c:pt idx="1">
                  <c:v>15836</c:v>
                </c:pt>
                <c:pt idx="2">
                  <c:v>14305</c:v>
                </c:pt>
                <c:pt idx="3">
                  <c:v>16572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547-4C65-AF39-9F5495BF91B6}"/>
            </c:ext>
          </c:extLst>
        </c:ser>
        <c:ser>
          <c:idx val="2"/>
          <c:order val="2"/>
          <c:tx>
            <c:strRef>
              <c:f>Foglio2!$A$37</c:f>
              <c:strCache>
                <c:ptCount val="1"/>
                <c:pt idx="0">
                  <c:v>differenza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Foglio2!$B$34:$E$34</c:f>
              <c:strCache>
                <c:ptCount val="4"/>
                <c:pt idx="0">
                  <c:v>anno 2015</c:v>
                </c:pt>
                <c:pt idx="1">
                  <c:v>anno 2016</c:v>
                </c:pt>
                <c:pt idx="2">
                  <c:v>anno 2017</c:v>
                </c:pt>
                <c:pt idx="3">
                  <c:v>anno 2018</c:v>
                </c:pt>
              </c:strCache>
            </c:strRef>
          </c:cat>
          <c:val>
            <c:numRef>
              <c:f>Foglio2!$B$37:$E$37</c:f>
              <c:numCache>
                <c:formatCode>General</c:formatCode>
                <c:ptCount val="4"/>
                <c:pt idx="0">
                  <c:v>80208</c:v>
                </c:pt>
                <c:pt idx="1">
                  <c:v>95296</c:v>
                </c:pt>
                <c:pt idx="2">
                  <c:v>107849</c:v>
                </c:pt>
                <c:pt idx="3">
                  <c:v>110298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547-4C65-AF39-9F5495BF91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0553472"/>
        <c:axId val="66431232"/>
      </c:barChart>
      <c:catAx>
        <c:axId val="60553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6431232"/>
        <c:crosses val="autoZero"/>
        <c:auto val="1"/>
        <c:lblAlgn val="ctr"/>
        <c:lblOffset val="100"/>
        <c:noMultiLvlLbl val="0"/>
      </c:catAx>
      <c:valAx>
        <c:axId val="66431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05534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Foglio2!$B$47:$E$47</c:f>
              <c:strCache>
                <c:ptCount val="4"/>
                <c:pt idx="0">
                  <c:v>anno 2015</c:v>
                </c:pt>
                <c:pt idx="1">
                  <c:v>anno 2016</c:v>
                </c:pt>
                <c:pt idx="2">
                  <c:v>anno 2017</c:v>
                </c:pt>
                <c:pt idx="3">
                  <c:v>anno 2018</c:v>
                </c:pt>
              </c:strCache>
            </c:strRef>
          </c:cat>
          <c:val>
            <c:numRef>
              <c:f>Foglio2!$B$48:$E$48</c:f>
              <c:numCache>
                <c:formatCode>General</c:formatCode>
                <c:ptCount val="4"/>
                <c:pt idx="0">
                  <c:v>6422</c:v>
                </c:pt>
                <c:pt idx="1">
                  <c:v>6418</c:v>
                </c:pt>
                <c:pt idx="2">
                  <c:v>6191</c:v>
                </c:pt>
                <c:pt idx="3">
                  <c:v>8071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F1-4BC9-BAD8-188273F548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86579072"/>
        <c:axId val="86585344"/>
      </c:barChart>
      <c:catAx>
        <c:axId val="86579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6585344"/>
        <c:crosses val="autoZero"/>
        <c:auto val="1"/>
        <c:lblAlgn val="ctr"/>
        <c:lblOffset val="100"/>
        <c:noMultiLvlLbl val="0"/>
      </c:catAx>
      <c:valAx>
        <c:axId val="86585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86579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Sauro Spignoli</dc:creator>
  <cp:lastModifiedBy>D'ONOFRIO</cp:lastModifiedBy>
  <cp:revision>8</cp:revision>
  <dcterms:created xsi:type="dcterms:W3CDTF">2018-11-06T14:38:00Z</dcterms:created>
  <dcterms:modified xsi:type="dcterms:W3CDTF">2018-11-08T13:55:00Z</dcterms:modified>
</cp:coreProperties>
</file>